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F097F" w14:textId="77777777" w:rsidR="00455996" w:rsidRPr="00987D2D" w:rsidRDefault="00455996" w:rsidP="00455996">
      <w:pPr>
        <w:numPr>
          <w:ilvl w:val="0"/>
          <w:numId w:val="1"/>
        </w:numPr>
        <w:spacing w:after="0"/>
        <w:jc w:val="both"/>
        <w:rPr>
          <w:rFonts w:cs="Arial"/>
          <w:b/>
        </w:rPr>
      </w:pPr>
      <w:bookmarkStart w:id="0" w:name="_Hlk151196952"/>
      <w:r w:rsidRPr="00987D2D">
        <w:rPr>
          <w:rFonts w:cs="Arial"/>
          <w:b/>
        </w:rPr>
        <w:t>REGLAMENTOS Y MANUALES:</w:t>
      </w:r>
      <w:r>
        <w:rPr>
          <w:rFonts w:cs="Arial"/>
          <w:b/>
        </w:rPr>
        <w:t xml:space="preserve"> </w:t>
      </w:r>
      <w:r w:rsidRPr="0020310D">
        <w:rPr>
          <w:rFonts w:cs="Arial"/>
          <w:b/>
          <w:color w:val="FF0000"/>
        </w:rPr>
        <w:t>SG</w:t>
      </w:r>
    </w:p>
    <w:p w14:paraId="4A6C1C56" w14:textId="77777777" w:rsidR="00455996" w:rsidRPr="00987D2D" w:rsidRDefault="00455996" w:rsidP="00455996">
      <w:pPr>
        <w:spacing w:line="276" w:lineRule="auto"/>
        <w:ind w:left="360"/>
        <w:rPr>
          <w:rFonts w:cs="Arial"/>
          <w:b/>
        </w:rPr>
      </w:pPr>
    </w:p>
    <w:p w14:paraId="3087E8DC" w14:textId="77777777" w:rsidR="00455996" w:rsidRPr="00987D2D" w:rsidRDefault="00455996" w:rsidP="00455996">
      <w:pPr>
        <w:autoSpaceDE w:val="0"/>
        <w:autoSpaceDN w:val="0"/>
        <w:adjustRightInd w:val="0"/>
        <w:rPr>
          <w:rFonts w:cs="Arial"/>
          <w:sz w:val="20"/>
          <w:szCs w:val="20"/>
        </w:rPr>
      </w:pPr>
      <w:r w:rsidRPr="00987D2D">
        <w:rPr>
          <w:rFonts w:cs="Arial"/>
          <w:sz w:val="20"/>
          <w:szCs w:val="20"/>
        </w:rPr>
        <w:t xml:space="preserve">Relacione los reglamentos internos y/o manuales de funciones y procedimientos vigentes desde la vigencia 2020 al 30 de septiembre de 2023, así: </w:t>
      </w:r>
    </w:p>
    <w:p w14:paraId="68FCFCB0" w14:textId="77777777" w:rsidR="00455996" w:rsidRPr="00987D2D" w:rsidRDefault="00455996" w:rsidP="00455996">
      <w:pPr>
        <w:autoSpaceDE w:val="0"/>
        <w:autoSpaceDN w:val="0"/>
        <w:adjustRightInd w:val="0"/>
        <w:rPr>
          <w:rFonts w:cs="Arial"/>
          <w:sz w:val="20"/>
          <w:szCs w:val="20"/>
        </w:rPr>
      </w:pPr>
    </w:p>
    <w:tbl>
      <w:tblPr>
        <w:tblW w:w="5000" w:type="pct"/>
        <w:tblLayout w:type="fixed"/>
        <w:tblCellMar>
          <w:left w:w="70" w:type="dxa"/>
          <w:right w:w="70" w:type="dxa"/>
        </w:tblCellMar>
        <w:tblLook w:val="04A0" w:firstRow="1" w:lastRow="0" w:firstColumn="1" w:lastColumn="0" w:noHBand="0" w:noVBand="1"/>
      </w:tblPr>
      <w:tblGrid>
        <w:gridCol w:w="1509"/>
        <w:gridCol w:w="2601"/>
        <w:gridCol w:w="1813"/>
        <w:gridCol w:w="1531"/>
        <w:gridCol w:w="1374"/>
      </w:tblGrid>
      <w:tr w:rsidR="00455996" w:rsidRPr="00987D2D" w14:paraId="4C57A03B" w14:textId="77777777" w:rsidTr="00A54B3E">
        <w:trPr>
          <w:trHeight w:val="794"/>
        </w:trPr>
        <w:tc>
          <w:tcPr>
            <w:tcW w:w="855" w:type="pct"/>
            <w:tcBorders>
              <w:top w:val="single" w:sz="4" w:space="0" w:color="auto"/>
              <w:left w:val="single" w:sz="4" w:space="0" w:color="auto"/>
              <w:bottom w:val="single" w:sz="4" w:space="0" w:color="auto"/>
              <w:right w:val="single" w:sz="4" w:space="0" w:color="auto"/>
            </w:tcBorders>
            <w:shd w:val="clear" w:color="auto" w:fill="auto"/>
            <w:vAlign w:val="center"/>
          </w:tcPr>
          <w:p w14:paraId="4C76D1B1" w14:textId="77777777" w:rsidR="00455996" w:rsidRPr="00987D2D" w:rsidRDefault="00455996" w:rsidP="00A54B3E">
            <w:pPr>
              <w:jc w:val="center"/>
              <w:rPr>
                <w:rFonts w:ascii="Arial Narrow" w:hAnsi="Arial Narrow" w:cs="Arial"/>
                <w:b/>
                <w:bCs/>
                <w:color w:val="000000"/>
                <w:sz w:val="16"/>
                <w:szCs w:val="20"/>
                <w:lang w:eastAsia="es-CO"/>
              </w:rPr>
            </w:pPr>
            <w:r w:rsidRPr="00987D2D">
              <w:rPr>
                <w:rFonts w:ascii="Arial Narrow" w:hAnsi="Arial Narrow" w:cs="Arial"/>
                <w:b/>
                <w:bCs/>
                <w:color w:val="000000"/>
                <w:sz w:val="16"/>
                <w:szCs w:val="20"/>
                <w:lang w:eastAsia="es-CO"/>
              </w:rPr>
              <w:t>DENOMINACION DEL REGLAMENTO y/o MANUAL</w:t>
            </w:r>
          </w:p>
        </w:tc>
        <w:tc>
          <w:tcPr>
            <w:tcW w:w="1473" w:type="pct"/>
            <w:tcBorders>
              <w:top w:val="single" w:sz="4" w:space="0" w:color="auto"/>
              <w:left w:val="nil"/>
              <w:bottom w:val="single" w:sz="4" w:space="0" w:color="auto"/>
              <w:right w:val="single" w:sz="4" w:space="0" w:color="auto"/>
            </w:tcBorders>
            <w:shd w:val="clear" w:color="auto" w:fill="auto"/>
            <w:vAlign w:val="center"/>
          </w:tcPr>
          <w:p w14:paraId="05574068" w14:textId="77777777" w:rsidR="00455996" w:rsidRPr="00987D2D" w:rsidRDefault="00455996" w:rsidP="00A54B3E">
            <w:pPr>
              <w:jc w:val="center"/>
              <w:rPr>
                <w:rFonts w:ascii="Arial Narrow" w:hAnsi="Arial Narrow" w:cs="Arial"/>
                <w:b/>
                <w:bCs/>
                <w:color w:val="000000"/>
                <w:sz w:val="16"/>
                <w:szCs w:val="20"/>
                <w:lang w:eastAsia="es-CO"/>
              </w:rPr>
            </w:pPr>
            <w:r w:rsidRPr="00987D2D">
              <w:rPr>
                <w:rFonts w:ascii="Arial Narrow" w:hAnsi="Arial Narrow" w:cs="Arial"/>
                <w:b/>
                <w:bCs/>
                <w:color w:val="000000"/>
                <w:sz w:val="16"/>
                <w:szCs w:val="20"/>
                <w:lang w:eastAsia="es-CO"/>
              </w:rPr>
              <w:t>DESCRIPCION</w:t>
            </w:r>
          </w:p>
        </w:tc>
        <w:tc>
          <w:tcPr>
            <w:tcW w:w="1027" w:type="pct"/>
            <w:tcBorders>
              <w:top w:val="single" w:sz="4" w:space="0" w:color="auto"/>
              <w:left w:val="nil"/>
              <w:bottom w:val="single" w:sz="4" w:space="0" w:color="auto"/>
              <w:right w:val="single" w:sz="4" w:space="0" w:color="auto"/>
            </w:tcBorders>
            <w:shd w:val="clear" w:color="auto" w:fill="auto"/>
            <w:vAlign w:val="center"/>
          </w:tcPr>
          <w:p w14:paraId="7F4E85BB" w14:textId="77777777" w:rsidR="00455996" w:rsidRPr="00987D2D" w:rsidRDefault="00455996" w:rsidP="00A54B3E">
            <w:pPr>
              <w:jc w:val="center"/>
              <w:rPr>
                <w:rFonts w:ascii="Arial Narrow" w:hAnsi="Arial Narrow" w:cs="Arial"/>
                <w:b/>
                <w:bCs/>
                <w:color w:val="000000"/>
                <w:sz w:val="16"/>
                <w:szCs w:val="20"/>
                <w:lang w:eastAsia="es-CO"/>
              </w:rPr>
            </w:pPr>
            <w:r w:rsidRPr="00987D2D">
              <w:rPr>
                <w:rFonts w:ascii="Arial Narrow" w:hAnsi="Arial Narrow" w:cs="Arial"/>
                <w:b/>
                <w:bCs/>
                <w:color w:val="000000"/>
                <w:sz w:val="16"/>
                <w:szCs w:val="20"/>
                <w:lang w:eastAsia="es-CO"/>
              </w:rPr>
              <w:t>MECANISMO DE ADOPCION Y VIGENCIA</w:t>
            </w:r>
          </w:p>
        </w:tc>
        <w:tc>
          <w:tcPr>
            <w:tcW w:w="867" w:type="pct"/>
            <w:tcBorders>
              <w:top w:val="single" w:sz="4" w:space="0" w:color="auto"/>
              <w:left w:val="nil"/>
              <w:bottom w:val="single" w:sz="4" w:space="0" w:color="auto"/>
              <w:right w:val="single" w:sz="4" w:space="0" w:color="auto"/>
            </w:tcBorders>
            <w:shd w:val="clear" w:color="auto" w:fill="auto"/>
            <w:vAlign w:val="center"/>
          </w:tcPr>
          <w:p w14:paraId="026D60BB" w14:textId="77777777" w:rsidR="00455996" w:rsidRPr="00987D2D" w:rsidRDefault="00455996" w:rsidP="00A54B3E">
            <w:pPr>
              <w:jc w:val="center"/>
              <w:rPr>
                <w:rFonts w:ascii="Arial Narrow" w:hAnsi="Arial Narrow" w:cs="Arial"/>
                <w:b/>
                <w:bCs/>
                <w:color w:val="000000"/>
                <w:sz w:val="16"/>
                <w:szCs w:val="20"/>
                <w:lang w:eastAsia="es-CO"/>
              </w:rPr>
            </w:pPr>
            <w:proofErr w:type="spellStart"/>
            <w:r w:rsidRPr="00987D2D">
              <w:rPr>
                <w:rFonts w:ascii="Arial Narrow" w:hAnsi="Arial Narrow" w:cs="Arial"/>
                <w:b/>
                <w:bCs/>
                <w:color w:val="000000"/>
                <w:sz w:val="16"/>
                <w:szCs w:val="20"/>
                <w:lang w:eastAsia="es-CO"/>
              </w:rPr>
              <w:t>N°</w:t>
            </w:r>
            <w:proofErr w:type="spellEnd"/>
            <w:r w:rsidRPr="00987D2D">
              <w:rPr>
                <w:rFonts w:ascii="Arial Narrow" w:hAnsi="Arial Narrow" w:cs="Arial"/>
                <w:b/>
                <w:bCs/>
                <w:color w:val="000000"/>
                <w:sz w:val="16"/>
                <w:szCs w:val="20"/>
                <w:lang w:eastAsia="es-CO"/>
              </w:rPr>
              <w:t xml:space="preserve"> DE ACTO ADMINISTRATIVO</w:t>
            </w:r>
          </w:p>
        </w:tc>
        <w:tc>
          <w:tcPr>
            <w:tcW w:w="778" w:type="pct"/>
            <w:tcBorders>
              <w:top w:val="single" w:sz="4" w:space="0" w:color="auto"/>
              <w:left w:val="nil"/>
              <w:bottom w:val="single" w:sz="4" w:space="0" w:color="auto"/>
              <w:right w:val="single" w:sz="4" w:space="0" w:color="auto"/>
            </w:tcBorders>
            <w:shd w:val="clear" w:color="auto" w:fill="auto"/>
            <w:vAlign w:val="center"/>
          </w:tcPr>
          <w:p w14:paraId="39249AE9" w14:textId="77777777" w:rsidR="00455996" w:rsidRPr="00987D2D" w:rsidRDefault="00455996" w:rsidP="00A54B3E">
            <w:pPr>
              <w:jc w:val="center"/>
              <w:rPr>
                <w:rFonts w:ascii="Arial Narrow" w:hAnsi="Arial Narrow" w:cs="Arial"/>
                <w:b/>
                <w:bCs/>
                <w:color w:val="000000"/>
                <w:sz w:val="16"/>
                <w:szCs w:val="20"/>
                <w:lang w:eastAsia="es-CO"/>
              </w:rPr>
            </w:pPr>
            <w:r w:rsidRPr="00987D2D">
              <w:rPr>
                <w:rFonts w:ascii="Arial Narrow" w:hAnsi="Arial Narrow" w:cs="Arial"/>
                <w:b/>
                <w:bCs/>
                <w:color w:val="000000"/>
                <w:sz w:val="16"/>
                <w:szCs w:val="20"/>
                <w:lang w:eastAsia="es-CO"/>
              </w:rPr>
              <w:t>FECHA DE ADOPCION O VIGENCIA</w:t>
            </w:r>
          </w:p>
        </w:tc>
      </w:tr>
      <w:tr w:rsidR="00455996" w:rsidRPr="00987D2D" w14:paraId="0AA6C8A2" w14:textId="77777777" w:rsidTr="00A54B3E">
        <w:trPr>
          <w:trHeight w:val="794"/>
        </w:trPr>
        <w:tc>
          <w:tcPr>
            <w:tcW w:w="855" w:type="pct"/>
            <w:tcBorders>
              <w:top w:val="nil"/>
              <w:left w:val="single" w:sz="4" w:space="0" w:color="auto"/>
              <w:bottom w:val="single" w:sz="4" w:space="0" w:color="auto"/>
              <w:right w:val="single" w:sz="4" w:space="0" w:color="auto"/>
            </w:tcBorders>
            <w:shd w:val="clear" w:color="auto" w:fill="auto"/>
            <w:noWrap/>
            <w:vAlign w:val="center"/>
          </w:tcPr>
          <w:p w14:paraId="58AAE221" w14:textId="77777777" w:rsidR="00455996" w:rsidRPr="00987D2D" w:rsidRDefault="00455996" w:rsidP="00A54B3E">
            <w:pPr>
              <w:jc w:val="center"/>
              <w:rPr>
                <w:rFonts w:cs="Arial"/>
                <w:color w:val="000000"/>
                <w:sz w:val="18"/>
                <w:szCs w:val="20"/>
                <w:lang w:eastAsia="es-CO"/>
              </w:rPr>
            </w:pPr>
          </w:p>
        </w:tc>
        <w:tc>
          <w:tcPr>
            <w:tcW w:w="1473" w:type="pct"/>
            <w:tcBorders>
              <w:top w:val="nil"/>
              <w:left w:val="nil"/>
              <w:bottom w:val="single" w:sz="4" w:space="0" w:color="auto"/>
              <w:right w:val="single" w:sz="4" w:space="0" w:color="auto"/>
            </w:tcBorders>
            <w:shd w:val="clear" w:color="auto" w:fill="auto"/>
            <w:noWrap/>
            <w:vAlign w:val="center"/>
          </w:tcPr>
          <w:p w14:paraId="2EB1FF01" w14:textId="77777777" w:rsidR="00455996" w:rsidRPr="00987D2D" w:rsidRDefault="00455996" w:rsidP="00A54B3E">
            <w:pPr>
              <w:rPr>
                <w:rFonts w:cs="Arial"/>
                <w:color w:val="000000"/>
                <w:sz w:val="18"/>
                <w:szCs w:val="20"/>
                <w:lang w:eastAsia="es-CO"/>
              </w:rPr>
            </w:pPr>
          </w:p>
        </w:tc>
        <w:tc>
          <w:tcPr>
            <w:tcW w:w="1027" w:type="pct"/>
            <w:tcBorders>
              <w:top w:val="nil"/>
              <w:left w:val="nil"/>
              <w:bottom w:val="single" w:sz="4" w:space="0" w:color="auto"/>
              <w:right w:val="single" w:sz="4" w:space="0" w:color="auto"/>
            </w:tcBorders>
            <w:shd w:val="clear" w:color="auto" w:fill="auto"/>
            <w:noWrap/>
            <w:vAlign w:val="center"/>
          </w:tcPr>
          <w:p w14:paraId="7D909C3B" w14:textId="77777777" w:rsidR="00455996" w:rsidRPr="00987D2D" w:rsidRDefault="00455996" w:rsidP="00A54B3E">
            <w:pPr>
              <w:jc w:val="center"/>
              <w:rPr>
                <w:rFonts w:cs="Arial"/>
                <w:color w:val="000000"/>
                <w:sz w:val="18"/>
                <w:szCs w:val="20"/>
                <w:lang w:eastAsia="es-CO"/>
              </w:rPr>
            </w:pPr>
            <w:r w:rsidRPr="00987D2D">
              <w:rPr>
                <w:rFonts w:cs="Arial"/>
                <w:color w:val="000000"/>
                <w:sz w:val="18"/>
                <w:szCs w:val="20"/>
                <w:lang w:eastAsia="es-CO"/>
              </w:rPr>
              <w:t>Resolución</w:t>
            </w:r>
          </w:p>
        </w:tc>
        <w:tc>
          <w:tcPr>
            <w:tcW w:w="867" w:type="pct"/>
            <w:tcBorders>
              <w:top w:val="nil"/>
              <w:left w:val="nil"/>
              <w:bottom w:val="single" w:sz="4" w:space="0" w:color="auto"/>
              <w:right w:val="single" w:sz="4" w:space="0" w:color="auto"/>
            </w:tcBorders>
            <w:shd w:val="clear" w:color="auto" w:fill="auto"/>
            <w:noWrap/>
            <w:vAlign w:val="center"/>
          </w:tcPr>
          <w:p w14:paraId="2FC67F97" w14:textId="77777777" w:rsidR="00455996" w:rsidRPr="00987D2D" w:rsidRDefault="00455996" w:rsidP="00A54B3E">
            <w:pPr>
              <w:jc w:val="center"/>
              <w:rPr>
                <w:rFonts w:cs="Arial"/>
                <w:color w:val="000000"/>
                <w:sz w:val="18"/>
                <w:szCs w:val="20"/>
                <w:lang w:eastAsia="es-CO"/>
              </w:rPr>
            </w:pPr>
          </w:p>
        </w:tc>
        <w:tc>
          <w:tcPr>
            <w:tcW w:w="778" w:type="pct"/>
            <w:tcBorders>
              <w:top w:val="nil"/>
              <w:left w:val="nil"/>
              <w:bottom w:val="single" w:sz="4" w:space="0" w:color="auto"/>
              <w:right w:val="single" w:sz="4" w:space="0" w:color="auto"/>
            </w:tcBorders>
            <w:shd w:val="clear" w:color="auto" w:fill="auto"/>
            <w:noWrap/>
            <w:vAlign w:val="center"/>
          </w:tcPr>
          <w:p w14:paraId="6D199CF1" w14:textId="77777777" w:rsidR="00455996" w:rsidRPr="00987D2D" w:rsidRDefault="00455996" w:rsidP="00A54B3E">
            <w:pPr>
              <w:jc w:val="center"/>
              <w:rPr>
                <w:rFonts w:cs="Arial"/>
                <w:color w:val="000000"/>
                <w:sz w:val="18"/>
                <w:szCs w:val="20"/>
                <w:lang w:eastAsia="es-CO"/>
              </w:rPr>
            </w:pPr>
          </w:p>
        </w:tc>
      </w:tr>
      <w:tr w:rsidR="00455996" w:rsidRPr="00987D2D" w14:paraId="211749C7" w14:textId="77777777" w:rsidTr="00A54B3E">
        <w:trPr>
          <w:trHeight w:val="794"/>
        </w:trPr>
        <w:tc>
          <w:tcPr>
            <w:tcW w:w="855" w:type="pct"/>
            <w:tcBorders>
              <w:top w:val="nil"/>
              <w:left w:val="single" w:sz="4" w:space="0" w:color="auto"/>
              <w:bottom w:val="single" w:sz="4" w:space="0" w:color="auto"/>
              <w:right w:val="single" w:sz="4" w:space="0" w:color="auto"/>
            </w:tcBorders>
            <w:shd w:val="clear" w:color="auto" w:fill="auto"/>
            <w:noWrap/>
            <w:vAlign w:val="center"/>
          </w:tcPr>
          <w:p w14:paraId="3B6BA4BA" w14:textId="77777777" w:rsidR="00455996" w:rsidRPr="00987D2D" w:rsidRDefault="00455996" w:rsidP="00A54B3E">
            <w:pPr>
              <w:jc w:val="center"/>
              <w:rPr>
                <w:rFonts w:cs="Arial"/>
                <w:color w:val="000000"/>
                <w:sz w:val="18"/>
                <w:szCs w:val="20"/>
                <w:lang w:eastAsia="es-CO"/>
              </w:rPr>
            </w:pPr>
          </w:p>
        </w:tc>
        <w:tc>
          <w:tcPr>
            <w:tcW w:w="1473" w:type="pct"/>
            <w:tcBorders>
              <w:top w:val="nil"/>
              <w:left w:val="nil"/>
              <w:bottom w:val="single" w:sz="4" w:space="0" w:color="auto"/>
              <w:right w:val="single" w:sz="4" w:space="0" w:color="auto"/>
            </w:tcBorders>
            <w:shd w:val="clear" w:color="auto" w:fill="auto"/>
            <w:noWrap/>
            <w:vAlign w:val="center"/>
          </w:tcPr>
          <w:p w14:paraId="2B9B3E0D" w14:textId="77777777" w:rsidR="00455996" w:rsidRPr="00987D2D" w:rsidRDefault="00455996" w:rsidP="00A54B3E">
            <w:pPr>
              <w:rPr>
                <w:rFonts w:cs="Arial"/>
                <w:color w:val="000000"/>
                <w:sz w:val="18"/>
                <w:szCs w:val="20"/>
                <w:lang w:eastAsia="es-CO"/>
              </w:rPr>
            </w:pPr>
          </w:p>
        </w:tc>
        <w:tc>
          <w:tcPr>
            <w:tcW w:w="1027" w:type="pct"/>
            <w:tcBorders>
              <w:top w:val="nil"/>
              <w:left w:val="nil"/>
              <w:bottom w:val="single" w:sz="4" w:space="0" w:color="auto"/>
              <w:right w:val="single" w:sz="4" w:space="0" w:color="auto"/>
            </w:tcBorders>
            <w:shd w:val="clear" w:color="auto" w:fill="auto"/>
            <w:noWrap/>
            <w:vAlign w:val="center"/>
          </w:tcPr>
          <w:p w14:paraId="7DA84153" w14:textId="77777777" w:rsidR="00455996" w:rsidRPr="00987D2D" w:rsidRDefault="00455996" w:rsidP="00A54B3E">
            <w:pPr>
              <w:jc w:val="center"/>
              <w:rPr>
                <w:rFonts w:cs="Arial"/>
                <w:color w:val="000000"/>
                <w:sz w:val="18"/>
                <w:szCs w:val="20"/>
                <w:lang w:eastAsia="es-CO"/>
              </w:rPr>
            </w:pPr>
          </w:p>
        </w:tc>
        <w:tc>
          <w:tcPr>
            <w:tcW w:w="867" w:type="pct"/>
            <w:tcBorders>
              <w:top w:val="nil"/>
              <w:left w:val="nil"/>
              <w:bottom w:val="single" w:sz="4" w:space="0" w:color="auto"/>
              <w:right w:val="single" w:sz="4" w:space="0" w:color="auto"/>
            </w:tcBorders>
            <w:shd w:val="clear" w:color="auto" w:fill="auto"/>
            <w:noWrap/>
            <w:vAlign w:val="center"/>
          </w:tcPr>
          <w:p w14:paraId="3ADF0DBB" w14:textId="77777777" w:rsidR="00455996" w:rsidRPr="00987D2D" w:rsidRDefault="00455996" w:rsidP="00A54B3E">
            <w:pPr>
              <w:jc w:val="center"/>
              <w:rPr>
                <w:rFonts w:cs="Arial"/>
                <w:color w:val="000000"/>
                <w:sz w:val="18"/>
                <w:szCs w:val="20"/>
                <w:lang w:eastAsia="es-CO"/>
              </w:rPr>
            </w:pPr>
          </w:p>
        </w:tc>
        <w:tc>
          <w:tcPr>
            <w:tcW w:w="778" w:type="pct"/>
            <w:tcBorders>
              <w:top w:val="nil"/>
              <w:left w:val="nil"/>
              <w:bottom w:val="single" w:sz="4" w:space="0" w:color="auto"/>
              <w:right w:val="single" w:sz="4" w:space="0" w:color="auto"/>
            </w:tcBorders>
            <w:shd w:val="clear" w:color="auto" w:fill="auto"/>
            <w:noWrap/>
            <w:vAlign w:val="center"/>
          </w:tcPr>
          <w:p w14:paraId="1A1E8D16" w14:textId="77777777" w:rsidR="00455996" w:rsidRPr="00987D2D" w:rsidRDefault="00455996" w:rsidP="00A54B3E">
            <w:pPr>
              <w:jc w:val="center"/>
              <w:rPr>
                <w:rFonts w:cs="Arial"/>
                <w:color w:val="000000"/>
                <w:sz w:val="18"/>
                <w:szCs w:val="20"/>
                <w:lang w:eastAsia="es-CO"/>
              </w:rPr>
            </w:pPr>
          </w:p>
        </w:tc>
      </w:tr>
      <w:bookmarkEnd w:id="0"/>
    </w:tbl>
    <w:p w14:paraId="282B52A6" w14:textId="015958DE" w:rsidR="000E739B" w:rsidRDefault="000E739B"/>
    <w:p w14:paraId="6578E95C" w14:textId="77777777" w:rsidR="005260ED" w:rsidRPr="00987D2D" w:rsidRDefault="005260ED" w:rsidP="005260ED">
      <w:pPr>
        <w:pStyle w:val="Prrafodelista"/>
        <w:numPr>
          <w:ilvl w:val="1"/>
          <w:numId w:val="3"/>
        </w:numPr>
        <w:autoSpaceDE w:val="0"/>
        <w:autoSpaceDN w:val="0"/>
        <w:adjustRightInd w:val="0"/>
        <w:jc w:val="both"/>
        <w:rPr>
          <w:rFonts w:ascii="Arial" w:eastAsia="Arial" w:hAnsi="Arial" w:cs="Arial"/>
          <w:b/>
          <w:sz w:val="22"/>
          <w:szCs w:val="22"/>
          <w:lang w:eastAsia="en-US"/>
        </w:rPr>
      </w:pPr>
      <w:r w:rsidRPr="00987D2D">
        <w:rPr>
          <w:rFonts w:ascii="Arial" w:eastAsia="Arial" w:hAnsi="Arial" w:cs="Arial"/>
          <w:b/>
          <w:sz w:val="22"/>
          <w:szCs w:val="22"/>
          <w:lang w:eastAsia="en-US"/>
        </w:rPr>
        <w:t xml:space="preserve">SECRETARIA GENERAL Y GESTION DOCUMENTAL </w:t>
      </w:r>
    </w:p>
    <w:p w14:paraId="6A9D5825" w14:textId="77777777" w:rsidR="005260ED" w:rsidRPr="00987D2D" w:rsidRDefault="005260ED" w:rsidP="005260ED">
      <w:pPr>
        <w:autoSpaceDE w:val="0"/>
        <w:autoSpaceDN w:val="0"/>
        <w:adjustRightInd w:val="0"/>
        <w:jc w:val="both"/>
        <w:rPr>
          <w:rFonts w:cs="Arial"/>
          <w:b/>
        </w:rPr>
      </w:pPr>
    </w:p>
    <w:p w14:paraId="314B6899" w14:textId="77777777" w:rsidR="005260ED" w:rsidRPr="00987D2D" w:rsidRDefault="005260ED" w:rsidP="00246E49">
      <w:pPr>
        <w:pStyle w:val="Prrafodelista"/>
        <w:numPr>
          <w:ilvl w:val="0"/>
          <w:numId w:val="4"/>
        </w:numPr>
        <w:autoSpaceDE w:val="0"/>
        <w:autoSpaceDN w:val="0"/>
        <w:adjustRightInd w:val="0"/>
        <w:jc w:val="both"/>
        <w:rPr>
          <w:rFonts w:ascii="Arial" w:eastAsia="Arial" w:hAnsi="Arial" w:cs="Arial"/>
          <w:sz w:val="22"/>
          <w:szCs w:val="22"/>
          <w:lang w:eastAsia="en-US"/>
        </w:rPr>
      </w:pPr>
      <w:proofErr w:type="gramStart"/>
      <w:r w:rsidRPr="00987D2D">
        <w:rPr>
          <w:rFonts w:ascii="Arial" w:eastAsia="Arial" w:hAnsi="Arial" w:cs="Arial"/>
          <w:sz w:val="22"/>
          <w:szCs w:val="22"/>
          <w:lang w:eastAsia="en-US"/>
        </w:rPr>
        <w:t>Gestión  durante</w:t>
      </w:r>
      <w:proofErr w:type="gramEnd"/>
      <w:r w:rsidRPr="00987D2D">
        <w:rPr>
          <w:rFonts w:ascii="Arial" w:eastAsia="Arial" w:hAnsi="Arial" w:cs="Arial"/>
          <w:sz w:val="22"/>
          <w:szCs w:val="22"/>
          <w:lang w:eastAsia="en-US"/>
        </w:rPr>
        <w:t xml:space="preserve"> el cuatrienio</w:t>
      </w:r>
    </w:p>
    <w:p w14:paraId="34F8714D" w14:textId="481EE544" w:rsidR="005260ED" w:rsidRPr="002C1AD6" w:rsidRDefault="005260ED" w:rsidP="00246E49">
      <w:pPr>
        <w:pStyle w:val="Prrafodelista"/>
        <w:numPr>
          <w:ilvl w:val="0"/>
          <w:numId w:val="4"/>
        </w:numPr>
        <w:autoSpaceDE w:val="0"/>
        <w:autoSpaceDN w:val="0"/>
        <w:adjustRightInd w:val="0"/>
        <w:jc w:val="both"/>
        <w:rPr>
          <w:rFonts w:ascii="Arial" w:eastAsia="Arial" w:hAnsi="Arial" w:cs="Arial"/>
          <w:sz w:val="22"/>
          <w:szCs w:val="22"/>
          <w:highlight w:val="yellow"/>
          <w:lang w:eastAsia="en-US"/>
        </w:rPr>
      </w:pPr>
      <w:bookmarkStart w:id="1" w:name="_GoBack"/>
      <w:bookmarkEnd w:id="1"/>
      <w:r w:rsidRPr="002C1AD6">
        <w:rPr>
          <w:rFonts w:ascii="Arial" w:eastAsia="Arial" w:hAnsi="Arial" w:cs="Arial"/>
          <w:sz w:val="22"/>
          <w:szCs w:val="22"/>
          <w:highlight w:val="yellow"/>
          <w:lang w:eastAsia="en-US"/>
        </w:rPr>
        <w:t xml:space="preserve">Informe Detallado de los procesos litigiosos durante el </w:t>
      </w:r>
      <w:proofErr w:type="gramStart"/>
      <w:r w:rsidR="00944ECF" w:rsidRPr="002C1AD6">
        <w:rPr>
          <w:rFonts w:ascii="Arial" w:eastAsia="Arial" w:hAnsi="Arial" w:cs="Arial"/>
          <w:sz w:val="22"/>
          <w:szCs w:val="22"/>
          <w:highlight w:val="yellow"/>
          <w:lang w:eastAsia="en-US"/>
        </w:rPr>
        <w:t>cuatrienio</w:t>
      </w:r>
      <w:r w:rsidRPr="002C1AD6">
        <w:rPr>
          <w:rFonts w:ascii="Arial" w:eastAsia="Arial" w:hAnsi="Arial" w:cs="Arial"/>
          <w:sz w:val="22"/>
          <w:szCs w:val="22"/>
          <w:highlight w:val="yellow"/>
          <w:lang w:eastAsia="en-US"/>
        </w:rPr>
        <w:t xml:space="preserve">  FALLADOS</w:t>
      </w:r>
      <w:proofErr w:type="gramEnd"/>
      <w:r w:rsidRPr="002C1AD6">
        <w:rPr>
          <w:rFonts w:ascii="Arial" w:eastAsia="Arial" w:hAnsi="Arial" w:cs="Arial"/>
          <w:sz w:val="22"/>
          <w:szCs w:val="22"/>
          <w:highlight w:val="yellow"/>
          <w:lang w:eastAsia="en-US"/>
        </w:rPr>
        <w:t xml:space="preserve"> en contra del AMB, indicado TIPO DE PROCESO, RADICADO, JUZGADO, DEMANDANTE, VALOR PAGADO POR  LA CONDENA. </w:t>
      </w:r>
      <w:r w:rsidRPr="002C1AD6">
        <w:rPr>
          <w:rFonts w:ascii="Arial" w:eastAsia="Arial" w:hAnsi="Arial" w:cs="Arial"/>
          <w:b/>
          <w:color w:val="FF0000"/>
          <w:sz w:val="22"/>
          <w:szCs w:val="22"/>
          <w:highlight w:val="yellow"/>
          <w:lang w:eastAsia="en-US"/>
        </w:rPr>
        <w:t>SG-J</w:t>
      </w:r>
    </w:p>
    <w:p w14:paraId="3A1F67E5" w14:textId="65D83461" w:rsidR="005260ED" w:rsidRPr="00E90C55" w:rsidRDefault="005260ED" w:rsidP="00246E49">
      <w:pPr>
        <w:pStyle w:val="Prrafodelista"/>
        <w:numPr>
          <w:ilvl w:val="0"/>
          <w:numId w:val="4"/>
        </w:numPr>
        <w:autoSpaceDE w:val="0"/>
        <w:autoSpaceDN w:val="0"/>
        <w:adjustRightInd w:val="0"/>
        <w:jc w:val="both"/>
        <w:rPr>
          <w:rFonts w:ascii="Arial" w:eastAsia="Arial" w:hAnsi="Arial" w:cs="Arial"/>
          <w:sz w:val="22"/>
          <w:szCs w:val="22"/>
          <w:highlight w:val="yellow"/>
          <w:lang w:eastAsia="en-US"/>
        </w:rPr>
      </w:pPr>
      <w:r w:rsidRPr="00E90C55">
        <w:rPr>
          <w:rFonts w:ascii="Arial" w:eastAsia="Arial" w:hAnsi="Arial" w:cs="Arial"/>
          <w:sz w:val="22"/>
          <w:szCs w:val="22"/>
          <w:highlight w:val="yellow"/>
          <w:lang w:eastAsia="en-US"/>
        </w:rPr>
        <w:t xml:space="preserve">Informe detallado de las acciones de repetición adelantadas y su estado actual. </w:t>
      </w:r>
      <w:r w:rsidRPr="00E90C55">
        <w:rPr>
          <w:rFonts w:ascii="Arial" w:eastAsia="Arial" w:hAnsi="Arial" w:cs="Arial"/>
          <w:b/>
          <w:color w:val="FF0000"/>
          <w:sz w:val="22"/>
          <w:szCs w:val="22"/>
          <w:highlight w:val="yellow"/>
          <w:lang w:eastAsia="en-US"/>
        </w:rPr>
        <w:t>SG-J</w:t>
      </w:r>
      <w:r w:rsidR="00E90C55">
        <w:rPr>
          <w:rFonts w:ascii="Arial" w:eastAsia="Arial" w:hAnsi="Arial" w:cs="Arial"/>
          <w:b/>
          <w:color w:val="FF0000"/>
          <w:sz w:val="22"/>
          <w:szCs w:val="22"/>
          <w:highlight w:val="yellow"/>
          <w:lang w:eastAsia="en-US"/>
        </w:rPr>
        <w:t xml:space="preserve"> SE ANEXA CUADRO EXCEL </w:t>
      </w:r>
    </w:p>
    <w:p w14:paraId="61E19C9F" w14:textId="4A16D034" w:rsidR="005260ED" w:rsidRPr="004D6112" w:rsidRDefault="005260ED" w:rsidP="005260ED">
      <w:pPr>
        <w:pStyle w:val="Prrafodelista"/>
        <w:numPr>
          <w:ilvl w:val="0"/>
          <w:numId w:val="2"/>
        </w:numPr>
        <w:autoSpaceDE w:val="0"/>
        <w:autoSpaceDN w:val="0"/>
        <w:adjustRightInd w:val="0"/>
        <w:jc w:val="both"/>
        <w:rPr>
          <w:rFonts w:ascii="Arial" w:eastAsia="Arial" w:hAnsi="Arial" w:cs="Arial"/>
          <w:sz w:val="22"/>
          <w:szCs w:val="22"/>
          <w:highlight w:val="yellow"/>
          <w:lang w:eastAsia="en-US"/>
        </w:rPr>
      </w:pPr>
      <w:r w:rsidRPr="004D6112">
        <w:rPr>
          <w:rFonts w:ascii="Arial" w:eastAsia="Arial" w:hAnsi="Arial" w:cs="Arial"/>
          <w:sz w:val="22"/>
          <w:szCs w:val="22"/>
          <w:highlight w:val="yellow"/>
          <w:lang w:eastAsia="en-US"/>
        </w:rPr>
        <w:t xml:space="preserve">Informe Detallado de los procesos litigiosos en contra del AMB, indicado TIPO DE PROCESO, RADICADO, JUZGADO, DEMANDANTE, </w:t>
      </w:r>
      <w:proofErr w:type="gramStart"/>
      <w:r w:rsidRPr="004D6112">
        <w:rPr>
          <w:rFonts w:ascii="Arial" w:eastAsia="Arial" w:hAnsi="Arial" w:cs="Arial"/>
          <w:sz w:val="22"/>
          <w:szCs w:val="22"/>
          <w:highlight w:val="yellow"/>
          <w:lang w:eastAsia="en-US"/>
        </w:rPr>
        <w:t>VALOR  O</w:t>
      </w:r>
      <w:proofErr w:type="gramEnd"/>
      <w:r w:rsidRPr="004D6112">
        <w:rPr>
          <w:rFonts w:ascii="Arial" w:eastAsia="Arial" w:hAnsi="Arial" w:cs="Arial"/>
          <w:sz w:val="22"/>
          <w:szCs w:val="22"/>
          <w:highlight w:val="yellow"/>
          <w:lang w:eastAsia="en-US"/>
        </w:rPr>
        <w:t xml:space="preserve"> PRETENSIONES, ESTADO ACTUAL. </w:t>
      </w:r>
      <w:r w:rsidR="00246E49" w:rsidRPr="004D6112">
        <w:rPr>
          <w:rFonts w:ascii="Arial" w:eastAsia="Arial" w:hAnsi="Arial" w:cs="Arial"/>
          <w:b/>
          <w:color w:val="FF0000"/>
          <w:sz w:val="22"/>
          <w:szCs w:val="22"/>
          <w:highlight w:val="yellow"/>
          <w:lang w:eastAsia="en-US"/>
        </w:rPr>
        <w:t xml:space="preserve">SE ANEXA CUADRO EXCEL </w:t>
      </w:r>
    </w:p>
    <w:p w14:paraId="27427733" w14:textId="727D4C4C" w:rsidR="005260ED" w:rsidRPr="004D6112" w:rsidRDefault="005260ED" w:rsidP="005260ED">
      <w:pPr>
        <w:pStyle w:val="Prrafodelista"/>
        <w:numPr>
          <w:ilvl w:val="0"/>
          <w:numId w:val="2"/>
        </w:numPr>
        <w:autoSpaceDE w:val="0"/>
        <w:autoSpaceDN w:val="0"/>
        <w:adjustRightInd w:val="0"/>
        <w:jc w:val="both"/>
        <w:rPr>
          <w:rFonts w:ascii="Arial" w:eastAsia="Arial" w:hAnsi="Arial" w:cs="Arial"/>
          <w:sz w:val="22"/>
          <w:szCs w:val="22"/>
          <w:highlight w:val="yellow"/>
          <w:lang w:eastAsia="en-US"/>
        </w:rPr>
      </w:pPr>
      <w:r w:rsidRPr="004D6112">
        <w:rPr>
          <w:rFonts w:ascii="Arial" w:eastAsia="Arial" w:hAnsi="Arial" w:cs="Arial"/>
          <w:sz w:val="22"/>
          <w:szCs w:val="22"/>
          <w:highlight w:val="yellow"/>
          <w:lang w:eastAsia="en-US"/>
        </w:rPr>
        <w:t xml:space="preserve">Informe Detallado de los procesos litigiosos a favor del AMB, indicado TIPO DE PROCESO, RADICADO, JUZGADO, DEMANDANTE, VALOR DE COBRO DE COSTAS DEL PROCESO </w:t>
      </w:r>
      <w:proofErr w:type="gramStart"/>
      <w:r w:rsidRPr="004D6112">
        <w:rPr>
          <w:rFonts w:ascii="Arial" w:eastAsia="Arial" w:hAnsi="Arial" w:cs="Arial"/>
          <w:sz w:val="22"/>
          <w:szCs w:val="22"/>
          <w:highlight w:val="yellow"/>
          <w:lang w:eastAsia="en-US"/>
        </w:rPr>
        <w:t>Y  ESTADO</w:t>
      </w:r>
      <w:proofErr w:type="gramEnd"/>
      <w:r w:rsidRPr="004D6112">
        <w:rPr>
          <w:rFonts w:ascii="Arial" w:eastAsia="Arial" w:hAnsi="Arial" w:cs="Arial"/>
          <w:sz w:val="22"/>
          <w:szCs w:val="22"/>
          <w:highlight w:val="yellow"/>
          <w:lang w:eastAsia="en-US"/>
        </w:rPr>
        <w:t xml:space="preserve"> ACTUAL. </w:t>
      </w:r>
      <w:r w:rsidR="00246E49" w:rsidRPr="004D6112">
        <w:rPr>
          <w:rFonts w:ascii="Arial" w:eastAsia="Arial" w:hAnsi="Arial" w:cs="Arial"/>
          <w:b/>
          <w:color w:val="FF0000"/>
          <w:sz w:val="22"/>
          <w:szCs w:val="22"/>
          <w:highlight w:val="yellow"/>
          <w:lang w:eastAsia="en-US"/>
        </w:rPr>
        <w:t>SE ANEXA CUADRO EXCEL</w:t>
      </w:r>
    </w:p>
    <w:p w14:paraId="3BE3A789" w14:textId="359553A3" w:rsidR="005260ED" w:rsidRPr="00246E49" w:rsidRDefault="005260ED" w:rsidP="005260ED">
      <w:pPr>
        <w:pStyle w:val="Prrafodelista"/>
        <w:numPr>
          <w:ilvl w:val="0"/>
          <w:numId w:val="2"/>
        </w:numPr>
        <w:autoSpaceDE w:val="0"/>
        <w:autoSpaceDN w:val="0"/>
        <w:adjustRightInd w:val="0"/>
        <w:jc w:val="both"/>
        <w:rPr>
          <w:rFonts w:ascii="Arial" w:eastAsia="Arial" w:hAnsi="Arial" w:cs="Arial"/>
          <w:sz w:val="22"/>
          <w:szCs w:val="22"/>
          <w:highlight w:val="yellow"/>
          <w:lang w:eastAsia="en-US"/>
        </w:rPr>
      </w:pPr>
      <w:r w:rsidRPr="00246E49">
        <w:rPr>
          <w:rFonts w:ascii="Arial" w:eastAsia="Arial" w:hAnsi="Arial" w:cs="Arial"/>
          <w:sz w:val="22"/>
          <w:szCs w:val="22"/>
          <w:highlight w:val="yellow"/>
          <w:lang w:eastAsia="en-US"/>
        </w:rPr>
        <w:t xml:space="preserve">Informe sobre el estado actual del proceso de litigio de la autoridad ambiental y sus actuaciones realizadas, así como los recursos existentes en las cuentas bancarias del AMB. </w:t>
      </w:r>
      <w:r w:rsidRPr="00246E49">
        <w:rPr>
          <w:rFonts w:ascii="Arial" w:eastAsia="Arial" w:hAnsi="Arial" w:cs="Arial"/>
          <w:b/>
          <w:color w:val="FF0000"/>
          <w:sz w:val="22"/>
          <w:szCs w:val="22"/>
          <w:highlight w:val="yellow"/>
          <w:lang w:eastAsia="en-US"/>
        </w:rPr>
        <w:t>SG-J</w:t>
      </w:r>
    </w:p>
    <w:p w14:paraId="7A6FB2DB" w14:textId="784B8DE0" w:rsidR="00D75767" w:rsidRPr="00D75767" w:rsidRDefault="00D75767" w:rsidP="00D75767">
      <w:pPr>
        <w:autoSpaceDE w:val="0"/>
        <w:autoSpaceDN w:val="0"/>
        <w:adjustRightInd w:val="0"/>
        <w:jc w:val="both"/>
        <w:rPr>
          <w:rFonts w:cs="Arial"/>
        </w:rPr>
      </w:pPr>
    </w:p>
    <w:p w14:paraId="6E5C5809" w14:textId="694806D5" w:rsidR="00585FA5" w:rsidRDefault="00D75767" w:rsidP="00585FA5">
      <w:pPr>
        <w:pStyle w:val="Prrafodelista"/>
        <w:autoSpaceDE w:val="0"/>
        <w:autoSpaceDN w:val="0"/>
        <w:adjustRightInd w:val="0"/>
        <w:jc w:val="both"/>
        <w:rPr>
          <w:rFonts w:ascii="Arial" w:eastAsia="Arial" w:hAnsi="Arial" w:cs="Arial"/>
          <w:i/>
          <w:sz w:val="22"/>
          <w:szCs w:val="22"/>
          <w:lang w:eastAsia="en-US"/>
        </w:rPr>
      </w:pPr>
      <w:r w:rsidRPr="00D75767">
        <w:rPr>
          <w:rFonts w:ascii="Arial" w:eastAsia="Arial" w:hAnsi="Arial" w:cs="Arial"/>
          <w:i/>
          <w:sz w:val="22"/>
          <w:szCs w:val="22"/>
          <w:lang w:eastAsia="en-US"/>
        </w:rPr>
        <w:t>En el año 2019, Gustavo Villamizar mota instaura Acción de Nulidad en contra del Acuerdo 031 de 2014 mediante el cual el Área Metropolitana de Bucaramanga asume funciones de autoridad ambiental</w:t>
      </w:r>
      <w:r>
        <w:rPr>
          <w:rFonts w:ascii="Arial" w:eastAsia="Arial" w:hAnsi="Arial" w:cs="Arial"/>
          <w:i/>
          <w:sz w:val="22"/>
          <w:szCs w:val="22"/>
          <w:lang w:eastAsia="en-US"/>
        </w:rPr>
        <w:t xml:space="preserve">, solicitando de </w:t>
      </w:r>
      <w:r w:rsidR="00A74EFF">
        <w:rPr>
          <w:rFonts w:ascii="Arial" w:eastAsia="Arial" w:hAnsi="Arial" w:cs="Arial"/>
          <w:i/>
          <w:sz w:val="22"/>
          <w:szCs w:val="22"/>
          <w:lang w:eastAsia="en-US"/>
        </w:rPr>
        <w:t>manera paralela se decrete</w:t>
      </w:r>
      <w:r>
        <w:rPr>
          <w:rFonts w:ascii="Arial" w:eastAsia="Arial" w:hAnsi="Arial" w:cs="Arial"/>
          <w:i/>
          <w:sz w:val="22"/>
          <w:szCs w:val="22"/>
          <w:lang w:eastAsia="en-US"/>
        </w:rPr>
        <w:t xml:space="preserve"> como medida cautelar la suspensión inmediata de los efectos de este acto, para lo cual, el Tribunal Administrativo de Santander mediante auto del 19 de octubre de 2019, ordena la suspensión provisional del Acuerdo objeto de demanda. </w:t>
      </w:r>
    </w:p>
    <w:p w14:paraId="4F0783A7" w14:textId="77777777" w:rsidR="00E92C46" w:rsidRDefault="00E92C46" w:rsidP="00585FA5">
      <w:pPr>
        <w:pStyle w:val="Prrafodelista"/>
        <w:autoSpaceDE w:val="0"/>
        <w:autoSpaceDN w:val="0"/>
        <w:adjustRightInd w:val="0"/>
        <w:jc w:val="both"/>
        <w:rPr>
          <w:rFonts w:ascii="Arial" w:eastAsia="Arial" w:hAnsi="Arial" w:cs="Arial"/>
          <w:i/>
          <w:sz w:val="22"/>
          <w:szCs w:val="22"/>
          <w:lang w:eastAsia="en-US"/>
        </w:rPr>
      </w:pPr>
    </w:p>
    <w:p w14:paraId="70D3614B" w14:textId="6E528BCF" w:rsidR="00D75767" w:rsidRDefault="00D75767" w:rsidP="00585FA5">
      <w:pPr>
        <w:pStyle w:val="Prrafodelista"/>
        <w:autoSpaceDE w:val="0"/>
        <w:autoSpaceDN w:val="0"/>
        <w:adjustRightInd w:val="0"/>
        <w:jc w:val="both"/>
        <w:rPr>
          <w:rFonts w:ascii="Arial" w:eastAsia="Arial" w:hAnsi="Arial" w:cs="Arial"/>
          <w:i/>
          <w:sz w:val="22"/>
          <w:szCs w:val="22"/>
          <w:lang w:eastAsia="en-US"/>
        </w:rPr>
      </w:pPr>
      <w:r>
        <w:rPr>
          <w:rFonts w:ascii="Arial" w:eastAsia="Arial" w:hAnsi="Arial" w:cs="Arial"/>
          <w:i/>
          <w:sz w:val="22"/>
          <w:szCs w:val="22"/>
          <w:lang w:eastAsia="en-US"/>
        </w:rPr>
        <w:t>El Área Metropolitana de Bucaramanga dentro del término establecido, interpone recurso de apelación, el cual fue resuelto en el 2023 por el Consejo de estado confirmando la decisión de primera instancia.</w:t>
      </w:r>
    </w:p>
    <w:p w14:paraId="6FCA84D9" w14:textId="47577463" w:rsidR="00E92C46" w:rsidRDefault="00E92C46" w:rsidP="00585FA5">
      <w:pPr>
        <w:pStyle w:val="Prrafodelista"/>
        <w:autoSpaceDE w:val="0"/>
        <w:autoSpaceDN w:val="0"/>
        <w:adjustRightInd w:val="0"/>
        <w:jc w:val="both"/>
        <w:rPr>
          <w:rFonts w:ascii="Arial" w:eastAsia="Arial" w:hAnsi="Arial" w:cs="Arial"/>
          <w:i/>
          <w:sz w:val="22"/>
          <w:szCs w:val="22"/>
          <w:lang w:eastAsia="en-US"/>
        </w:rPr>
      </w:pPr>
    </w:p>
    <w:p w14:paraId="0118E80A" w14:textId="465D66F6" w:rsidR="00E92C46" w:rsidRDefault="00E92C46" w:rsidP="00585FA5">
      <w:pPr>
        <w:pStyle w:val="Prrafodelista"/>
        <w:autoSpaceDE w:val="0"/>
        <w:autoSpaceDN w:val="0"/>
        <w:adjustRightInd w:val="0"/>
        <w:jc w:val="both"/>
        <w:rPr>
          <w:rFonts w:ascii="Arial" w:eastAsia="Arial" w:hAnsi="Arial" w:cs="Arial"/>
          <w:i/>
          <w:sz w:val="22"/>
          <w:szCs w:val="22"/>
          <w:lang w:eastAsia="en-US"/>
        </w:rPr>
      </w:pPr>
      <w:r>
        <w:rPr>
          <w:rFonts w:ascii="Arial" w:eastAsia="Arial" w:hAnsi="Arial" w:cs="Arial"/>
          <w:i/>
          <w:sz w:val="22"/>
          <w:szCs w:val="22"/>
          <w:lang w:eastAsia="en-US"/>
        </w:rPr>
        <w:t xml:space="preserve">En este mismo orden, el Tribunal Administrativo de Santander profiere fallo de primera instancia declarando la nulidad del Acuerdo 031 de 2014, </w:t>
      </w:r>
      <w:r w:rsidR="00A74EFF">
        <w:rPr>
          <w:rFonts w:ascii="Arial" w:eastAsia="Arial" w:hAnsi="Arial" w:cs="Arial"/>
          <w:i/>
          <w:sz w:val="22"/>
          <w:szCs w:val="22"/>
          <w:lang w:eastAsia="en-US"/>
        </w:rPr>
        <w:t xml:space="preserve">el cual es </w:t>
      </w:r>
      <w:r w:rsidR="00A74EFF">
        <w:rPr>
          <w:rFonts w:ascii="Arial" w:eastAsia="Arial" w:hAnsi="Arial" w:cs="Arial"/>
          <w:i/>
          <w:sz w:val="22"/>
          <w:szCs w:val="22"/>
          <w:lang w:eastAsia="en-US"/>
        </w:rPr>
        <w:lastRenderedPageBreak/>
        <w:t xml:space="preserve">recurrido por nuestra entidad, a fin de </w:t>
      </w:r>
      <w:r>
        <w:rPr>
          <w:rFonts w:ascii="Arial" w:eastAsia="Arial" w:hAnsi="Arial" w:cs="Arial"/>
          <w:i/>
          <w:sz w:val="22"/>
          <w:szCs w:val="22"/>
          <w:lang w:eastAsia="en-US"/>
        </w:rPr>
        <w:t xml:space="preserve">ser estudiado </w:t>
      </w:r>
      <w:r w:rsidR="00A74EFF">
        <w:rPr>
          <w:rFonts w:ascii="Arial" w:eastAsia="Arial" w:hAnsi="Arial" w:cs="Arial"/>
          <w:i/>
          <w:sz w:val="22"/>
          <w:szCs w:val="22"/>
          <w:lang w:eastAsia="en-US"/>
        </w:rPr>
        <w:t xml:space="preserve">y resuelto </w:t>
      </w:r>
      <w:r>
        <w:rPr>
          <w:rFonts w:ascii="Arial" w:eastAsia="Arial" w:hAnsi="Arial" w:cs="Arial"/>
          <w:i/>
          <w:sz w:val="22"/>
          <w:szCs w:val="22"/>
          <w:lang w:eastAsia="en-US"/>
        </w:rPr>
        <w:t xml:space="preserve">por parte del Consejo de Estado. </w:t>
      </w:r>
    </w:p>
    <w:p w14:paraId="0843BADF" w14:textId="77777777" w:rsidR="00A74EFF" w:rsidRDefault="00A74EFF" w:rsidP="00585FA5">
      <w:pPr>
        <w:pStyle w:val="Prrafodelista"/>
        <w:autoSpaceDE w:val="0"/>
        <w:autoSpaceDN w:val="0"/>
        <w:adjustRightInd w:val="0"/>
        <w:jc w:val="both"/>
        <w:rPr>
          <w:rFonts w:ascii="Arial" w:eastAsia="Arial" w:hAnsi="Arial" w:cs="Arial"/>
          <w:i/>
          <w:sz w:val="22"/>
          <w:szCs w:val="22"/>
          <w:lang w:eastAsia="en-US"/>
        </w:rPr>
      </w:pPr>
    </w:p>
    <w:p w14:paraId="4B7D3D85" w14:textId="5EF89B98" w:rsidR="00E92C46" w:rsidRDefault="00E92C46" w:rsidP="00585FA5">
      <w:pPr>
        <w:pStyle w:val="Prrafodelista"/>
        <w:autoSpaceDE w:val="0"/>
        <w:autoSpaceDN w:val="0"/>
        <w:adjustRightInd w:val="0"/>
        <w:jc w:val="both"/>
        <w:rPr>
          <w:rFonts w:ascii="Arial" w:eastAsia="Arial" w:hAnsi="Arial" w:cs="Arial"/>
          <w:i/>
          <w:sz w:val="22"/>
          <w:szCs w:val="22"/>
          <w:lang w:eastAsia="en-US"/>
        </w:rPr>
      </w:pPr>
      <w:r>
        <w:rPr>
          <w:rFonts w:ascii="Arial" w:eastAsia="Arial" w:hAnsi="Arial" w:cs="Arial"/>
          <w:i/>
          <w:sz w:val="22"/>
          <w:szCs w:val="22"/>
          <w:lang w:eastAsia="en-US"/>
        </w:rPr>
        <w:t xml:space="preserve">Mediante </w:t>
      </w:r>
      <w:r w:rsidR="00A74EFF">
        <w:rPr>
          <w:rFonts w:ascii="Arial" w:eastAsia="Arial" w:hAnsi="Arial" w:cs="Arial"/>
          <w:i/>
          <w:sz w:val="22"/>
          <w:szCs w:val="22"/>
          <w:lang w:eastAsia="en-US"/>
        </w:rPr>
        <w:t>estudio</w:t>
      </w:r>
      <w:r>
        <w:rPr>
          <w:rFonts w:ascii="Arial" w:eastAsia="Arial" w:hAnsi="Arial" w:cs="Arial"/>
          <w:i/>
          <w:sz w:val="22"/>
          <w:szCs w:val="22"/>
          <w:lang w:eastAsia="en-US"/>
        </w:rPr>
        <w:t xml:space="preserve"> por parte del Comité de Conciliación, previa presentación de Concepto emitido por la defensa judicial, esto es, la firma Ortiz </w:t>
      </w:r>
      <w:proofErr w:type="spellStart"/>
      <w:r>
        <w:rPr>
          <w:rFonts w:ascii="Arial" w:eastAsia="Arial" w:hAnsi="Arial" w:cs="Arial"/>
          <w:i/>
          <w:sz w:val="22"/>
          <w:szCs w:val="22"/>
          <w:lang w:eastAsia="en-US"/>
        </w:rPr>
        <w:t>Gutierrez</w:t>
      </w:r>
      <w:proofErr w:type="spellEnd"/>
      <w:r>
        <w:rPr>
          <w:rFonts w:ascii="Arial" w:eastAsia="Arial" w:hAnsi="Arial" w:cs="Arial"/>
          <w:i/>
          <w:sz w:val="22"/>
          <w:szCs w:val="22"/>
          <w:lang w:eastAsia="en-US"/>
        </w:rPr>
        <w:t xml:space="preserve"> &amp; Asociados, se aprueba el desistimiento del recurso de apelación, informando así al Tribunal Administrativo de Santander, quien por medio de auto del 03 de noviembre de 2023 acepta el desistimiento, quedando ejecutoriado el día 14 de </w:t>
      </w:r>
      <w:proofErr w:type="gramStart"/>
      <w:r>
        <w:rPr>
          <w:rFonts w:ascii="Arial" w:eastAsia="Arial" w:hAnsi="Arial" w:cs="Arial"/>
          <w:i/>
          <w:sz w:val="22"/>
          <w:szCs w:val="22"/>
          <w:lang w:eastAsia="en-US"/>
        </w:rPr>
        <w:t>Noviembre</w:t>
      </w:r>
      <w:proofErr w:type="gramEnd"/>
      <w:r>
        <w:rPr>
          <w:rFonts w:ascii="Arial" w:eastAsia="Arial" w:hAnsi="Arial" w:cs="Arial"/>
          <w:i/>
          <w:sz w:val="22"/>
          <w:szCs w:val="22"/>
          <w:lang w:eastAsia="en-US"/>
        </w:rPr>
        <w:t xml:space="preserve"> de 2023. </w:t>
      </w:r>
    </w:p>
    <w:p w14:paraId="0275F562" w14:textId="025357F1" w:rsidR="00A74EFF" w:rsidRDefault="00A74EFF" w:rsidP="00585FA5">
      <w:pPr>
        <w:pStyle w:val="Prrafodelista"/>
        <w:autoSpaceDE w:val="0"/>
        <w:autoSpaceDN w:val="0"/>
        <w:adjustRightInd w:val="0"/>
        <w:jc w:val="both"/>
        <w:rPr>
          <w:rFonts w:ascii="Arial" w:eastAsia="Arial" w:hAnsi="Arial" w:cs="Arial"/>
          <w:i/>
          <w:sz w:val="22"/>
          <w:szCs w:val="22"/>
          <w:lang w:eastAsia="en-US"/>
        </w:rPr>
      </w:pPr>
    </w:p>
    <w:p w14:paraId="526179E4" w14:textId="79368D4D" w:rsidR="00A74EFF" w:rsidRDefault="00A74EFF" w:rsidP="00585FA5">
      <w:pPr>
        <w:pStyle w:val="Prrafodelista"/>
        <w:autoSpaceDE w:val="0"/>
        <w:autoSpaceDN w:val="0"/>
        <w:adjustRightInd w:val="0"/>
        <w:jc w:val="both"/>
        <w:rPr>
          <w:rFonts w:ascii="Arial" w:eastAsia="Arial" w:hAnsi="Arial" w:cs="Arial"/>
          <w:i/>
          <w:sz w:val="22"/>
          <w:szCs w:val="22"/>
          <w:lang w:eastAsia="en-US"/>
        </w:rPr>
      </w:pPr>
      <w:r>
        <w:rPr>
          <w:rFonts w:ascii="Arial" w:eastAsia="Arial" w:hAnsi="Arial" w:cs="Arial"/>
          <w:i/>
          <w:sz w:val="22"/>
          <w:szCs w:val="22"/>
          <w:lang w:eastAsia="en-US"/>
        </w:rPr>
        <w:t xml:space="preserve">En relación a los recursos existentes, mediante certificado emitido por el Tesorero se visualiza </w:t>
      </w:r>
      <w:r w:rsidR="00246E49">
        <w:rPr>
          <w:rFonts w:ascii="Arial" w:eastAsia="Arial" w:hAnsi="Arial" w:cs="Arial"/>
          <w:i/>
          <w:sz w:val="22"/>
          <w:szCs w:val="22"/>
          <w:lang w:eastAsia="en-US"/>
        </w:rPr>
        <w:t>lo siguiente</w:t>
      </w:r>
      <w:r>
        <w:rPr>
          <w:rFonts w:ascii="Arial" w:eastAsia="Arial" w:hAnsi="Arial" w:cs="Arial"/>
          <w:i/>
          <w:sz w:val="22"/>
          <w:szCs w:val="22"/>
          <w:lang w:eastAsia="en-US"/>
        </w:rPr>
        <w:t xml:space="preserve">: </w:t>
      </w:r>
    </w:p>
    <w:p w14:paraId="3C5A4246" w14:textId="6DAD5E01" w:rsidR="00A74EFF" w:rsidRDefault="00A74EFF" w:rsidP="00585FA5">
      <w:pPr>
        <w:pStyle w:val="Prrafodelista"/>
        <w:autoSpaceDE w:val="0"/>
        <w:autoSpaceDN w:val="0"/>
        <w:adjustRightInd w:val="0"/>
        <w:jc w:val="both"/>
        <w:rPr>
          <w:rFonts w:ascii="Arial" w:eastAsia="Arial" w:hAnsi="Arial" w:cs="Arial"/>
          <w:i/>
          <w:sz w:val="22"/>
          <w:szCs w:val="22"/>
          <w:lang w:eastAsia="en-US"/>
        </w:rPr>
      </w:pPr>
    </w:p>
    <w:p w14:paraId="2777F05B" w14:textId="55BCFA19" w:rsidR="00246E49" w:rsidRDefault="00246E49" w:rsidP="00246E49">
      <w:pPr>
        <w:pStyle w:val="Prrafodelista"/>
        <w:autoSpaceDE w:val="0"/>
        <w:autoSpaceDN w:val="0"/>
        <w:adjustRightInd w:val="0"/>
        <w:jc w:val="both"/>
        <w:rPr>
          <w:rFonts w:ascii="Arial" w:eastAsia="Arial" w:hAnsi="Arial" w:cs="Arial"/>
          <w:i/>
          <w:sz w:val="22"/>
          <w:szCs w:val="22"/>
          <w:lang w:eastAsia="en-US"/>
        </w:rPr>
      </w:pPr>
      <w:r>
        <w:rPr>
          <w:rFonts w:ascii="Arial" w:eastAsia="Arial" w:hAnsi="Arial" w:cs="Arial"/>
          <w:i/>
          <w:sz w:val="22"/>
          <w:szCs w:val="22"/>
          <w:lang w:eastAsia="en-US"/>
        </w:rPr>
        <w:t>Recursos Ambientales</w:t>
      </w:r>
      <w:r>
        <w:rPr>
          <w:rFonts w:ascii="Arial" w:eastAsia="Arial" w:hAnsi="Arial" w:cs="Arial"/>
          <w:i/>
          <w:sz w:val="22"/>
          <w:szCs w:val="22"/>
          <w:lang w:eastAsia="en-US"/>
        </w:rPr>
        <w:tab/>
        <w:t>$ 8.438.871.163,00</w:t>
      </w:r>
    </w:p>
    <w:p w14:paraId="4DD36EF7" w14:textId="7EE0FCEF" w:rsidR="00246E49" w:rsidRPr="00246E49" w:rsidRDefault="00246E49" w:rsidP="00246E49">
      <w:pPr>
        <w:pStyle w:val="Prrafodelista"/>
        <w:autoSpaceDE w:val="0"/>
        <w:autoSpaceDN w:val="0"/>
        <w:adjustRightInd w:val="0"/>
        <w:jc w:val="both"/>
        <w:rPr>
          <w:rFonts w:ascii="Arial" w:eastAsia="Arial" w:hAnsi="Arial" w:cs="Arial"/>
          <w:i/>
          <w:sz w:val="22"/>
          <w:szCs w:val="22"/>
          <w:lang w:eastAsia="en-US"/>
        </w:rPr>
      </w:pPr>
      <w:r>
        <w:rPr>
          <w:rFonts w:ascii="Arial" w:eastAsia="Arial" w:hAnsi="Arial" w:cs="Arial"/>
          <w:i/>
          <w:sz w:val="22"/>
          <w:szCs w:val="22"/>
          <w:lang w:eastAsia="en-US"/>
        </w:rPr>
        <w:t xml:space="preserve">Tasa Retributiva </w:t>
      </w:r>
      <w:r>
        <w:rPr>
          <w:rFonts w:ascii="Arial" w:eastAsia="Arial" w:hAnsi="Arial" w:cs="Arial"/>
          <w:i/>
          <w:sz w:val="22"/>
          <w:szCs w:val="22"/>
          <w:lang w:eastAsia="en-US"/>
        </w:rPr>
        <w:tab/>
      </w:r>
      <w:r>
        <w:rPr>
          <w:rFonts w:ascii="Arial" w:eastAsia="Arial" w:hAnsi="Arial" w:cs="Arial"/>
          <w:i/>
          <w:sz w:val="22"/>
          <w:szCs w:val="22"/>
          <w:lang w:eastAsia="en-US"/>
        </w:rPr>
        <w:tab/>
        <w:t>$ 2.387.692.546,92</w:t>
      </w:r>
    </w:p>
    <w:p w14:paraId="78FDA44F" w14:textId="77777777" w:rsidR="00D75767" w:rsidRPr="00D75767" w:rsidRDefault="00D75767" w:rsidP="00585FA5">
      <w:pPr>
        <w:pStyle w:val="Prrafodelista"/>
        <w:autoSpaceDE w:val="0"/>
        <w:autoSpaceDN w:val="0"/>
        <w:adjustRightInd w:val="0"/>
        <w:jc w:val="both"/>
        <w:rPr>
          <w:rFonts w:ascii="Arial" w:eastAsia="Arial" w:hAnsi="Arial" w:cs="Arial"/>
          <w:i/>
          <w:sz w:val="22"/>
          <w:szCs w:val="22"/>
          <w:lang w:eastAsia="en-US"/>
        </w:rPr>
      </w:pPr>
    </w:p>
    <w:p w14:paraId="19270BB4" w14:textId="77777777" w:rsidR="005260ED" w:rsidRPr="00987D2D" w:rsidRDefault="005260ED" w:rsidP="005260ED">
      <w:pPr>
        <w:pStyle w:val="Prrafodelista"/>
        <w:numPr>
          <w:ilvl w:val="0"/>
          <w:numId w:val="2"/>
        </w:numPr>
        <w:tabs>
          <w:tab w:val="left" w:pos="930"/>
        </w:tabs>
        <w:spacing w:line="276" w:lineRule="auto"/>
        <w:jc w:val="both"/>
        <w:rPr>
          <w:rFonts w:ascii="Arial" w:eastAsia="Arial" w:hAnsi="Arial" w:cs="Arial"/>
          <w:sz w:val="22"/>
          <w:szCs w:val="22"/>
          <w:lang w:eastAsia="en-US"/>
        </w:rPr>
      </w:pPr>
      <w:bookmarkStart w:id="2" w:name="_Hlk151196923"/>
      <w:r w:rsidRPr="00987D2D">
        <w:rPr>
          <w:rFonts w:ascii="Arial" w:eastAsia="Arial" w:hAnsi="Arial" w:cs="Arial"/>
          <w:sz w:val="22"/>
          <w:szCs w:val="22"/>
          <w:lang w:eastAsia="en-US"/>
        </w:rPr>
        <w:t xml:space="preserve">Así mismo, en el anexo del Numeral 13 de la presente acta de informe de entrega del cargo, allegar el normograma del AMB y los actos administrativos de conformación de los diferentes comités en el AMB.  </w:t>
      </w:r>
      <w:bookmarkEnd w:id="2"/>
      <w:r w:rsidRPr="007F2CAA">
        <w:rPr>
          <w:rFonts w:ascii="Arial" w:eastAsia="Arial" w:hAnsi="Arial" w:cs="Arial"/>
          <w:b/>
          <w:color w:val="FF0000"/>
          <w:sz w:val="22"/>
          <w:szCs w:val="22"/>
          <w:lang w:eastAsia="en-US"/>
        </w:rPr>
        <w:t>SG</w:t>
      </w:r>
    </w:p>
    <w:p w14:paraId="6315D99D" w14:textId="77777777" w:rsidR="005260ED" w:rsidRDefault="005260ED" w:rsidP="005260ED">
      <w:pPr>
        <w:jc w:val="both"/>
      </w:pPr>
    </w:p>
    <w:p w14:paraId="4C400915" w14:textId="3E1C69DB" w:rsidR="005260ED" w:rsidRDefault="005260ED" w:rsidP="005260ED">
      <w:pPr>
        <w:jc w:val="both"/>
      </w:pPr>
      <w:r w:rsidRPr="00585FA5">
        <w:rPr>
          <w:highlight w:val="cyan"/>
        </w:rPr>
        <w:t xml:space="preserve">20. En virtud al desistimiento de la impugnación del fallo de primera instancia referido por el tribunal y </w:t>
      </w:r>
      <w:proofErr w:type="gramStart"/>
      <w:r w:rsidRPr="00585FA5">
        <w:rPr>
          <w:highlight w:val="cyan"/>
        </w:rPr>
        <w:t>el virtud</w:t>
      </w:r>
      <w:proofErr w:type="gramEnd"/>
      <w:r w:rsidRPr="00585FA5">
        <w:rPr>
          <w:highlight w:val="cyan"/>
        </w:rPr>
        <w:t xml:space="preserve"> al comité de conciliación y defensa judicial llevado a cabo el 12 de septiembre.  Analizaron la consecuencia que tendría la situación laboral de los funcionarios y eventualmente en las reclamaciones y solicitudes de devolución de dinero, por </w:t>
      </w:r>
      <w:proofErr w:type="gramStart"/>
      <w:r w:rsidRPr="00585FA5">
        <w:rPr>
          <w:highlight w:val="cyan"/>
        </w:rPr>
        <w:t>parte  de</w:t>
      </w:r>
      <w:proofErr w:type="gramEnd"/>
      <w:r w:rsidRPr="00585FA5">
        <w:rPr>
          <w:highlight w:val="cyan"/>
        </w:rPr>
        <w:t xml:space="preserve"> la ciudadanía por cobros  en los procesos ambientales sancionatorios y persuasivos? </w:t>
      </w:r>
      <w:r w:rsidRPr="00585FA5">
        <w:rPr>
          <w:rFonts w:cs="Arial"/>
          <w:b/>
          <w:color w:val="FF0000"/>
          <w:highlight w:val="cyan"/>
        </w:rPr>
        <w:t>SG-J</w:t>
      </w:r>
    </w:p>
    <w:p w14:paraId="48338444" w14:textId="57497BD8" w:rsidR="005260ED" w:rsidRDefault="005260ED" w:rsidP="005260ED">
      <w:pPr>
        <w:jc w:val="both"/>
      </w:pPr>
      <w:r w:rsidRPr="002C1AD6">
        <w:rPr>
          <w:highlight w:val="yellow"/>
        </w:rPr>
        <w:t xml:space="preserve">26. Relación de procesos en investigación disciplinaria? </w:t>
      </w:r>
      <w:r w:rsidRPr="002C1AD6">
        <w:rPr>
          <w:rFonts w:cs="Arial"/>
          <w:b/>
          <w:color w:val="FF0000"/>
          <w:highlight w:val="yellow"/>
        </w:rPr>
        <w:t>SG</w:t>
      </w:r>
    </w:p>
    <w:p w14:paraId="7B65FD44" w14:textId="54883066" w:rsidR="005260ED" w:rsidRDefault="005260ED" w:rsidP="005260ED">
      <w:pPr>
        <w:jc w:val="both"/>
      </w:pPr>
      <w:r w:rsidRPr="004D6112">
        <w:rPr>
          <w:highlight w:val="cyan"/>
        </w:rPr>
        <w:t xml:space="preserve">27. Indicar de manera clara y precisa los fundamentos legales y jurídicos que llevaron al comité de conciliación y defensa judicial </w:t>
      </w:r>
      <w:r w:rsidR="004D6112" w:rsidRPr="004D6112">
        <w:rPr>
          <w:highlight w:val="cyan"/>
        </w:rPr>
        <w:t>a</w:t>
      </w:r>
      <w:r w:rsidRPr="004D6112">
        <w:rPr>
          <w:highlight w:val="cyan"/>
        </w:rPr>
        <w:t xml:space="preserve"> concluir el desistir del recurso de apelación interpuesto contra la sentencia de primera instancia emitido por el Tribunal Administrativo de Santander. </w:t>
      </w:r>
      <w:r w:rsidRPr="004D6112">
        <w:rPr>
          <w:rFonts w:cs="Arial"/>
          <w:b/>
          <w:color w:val="FF0000"/>
          <w:highlight w:val="cyan"/>
        </w:rPr>
        <w:t>SG-J</w:t>
      </w:r>
    </w:p>
    <w:p w14:paraId="5BB2DB5E" w14:textId="77777777" w:rsidR="005260ED" w:rsidRDefault="005260ED"/>
    <w:sectPr w:rsidR="005260E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604412"/>
    <w:multiLevelType w:val="hybridMultilevel"/>
    <w:tmpl w:val="507AA6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F30746A"/>
    <w:multiLevelType w:val="hybridMultilevel"/>
    <w:tmpl w:val="E646A1F4"/>
    <w:lvl w:ilvl="0" w:tplc="FFFFFFFF">
      <w:start w:val="5"/>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4611A3A"/>
    <w:multiLevelType w:val="multilevel"/>
    <w:tmpl w:val="BFCEC09E"/>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D306A22"/>
    <w:multiLevelType w:val="hybridMultilevel"/>
    <w:tmpl w:val="F0882E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39B"/>
    <w:rsid w:val="000E739B"/>
    <w:rsid w:val="00246E49"/>
    <w:rsid w:val="002C1AD6"/>
    <w:rsid w:val="00455996"/>
    <w:rsid w:val="004D6112"/>
    <w:rsid w:val="005260ED"/>
    <w:rsid w:val="00585FA5"/>
    <w:rsid w:val="005E7B30"/>
    <w:rsid w:val="00944ECF"/>
    <w:rsid w:val="00A66F5D"/>
    <w:rsid w:val="00A74EFF"/>
    <w:rsid w:val="00D75767"/>
    <w:rsid w:val="00E90C55"/>
    <w:rsid w:val="00E92C4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EFD16"/>
  <w15:chartTrackingRefBased/>
  <w15:docId w15:val="{C7F9623A-C430-43D9-931E-04CF60A83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5996"/>
    <w:pPr>
      <w:spacing w:after="120" w:line="240" w:lineRule="auto"/>
    </w:pPr>
    <w:rPr>
      <w:rFonts w:ascii="Arial" w:eastAsia="Arial" w:hAnsi="Arial"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260ED"/>
    <w:pPr>
      <w:spacing w:after="0"/>
      <w:ind w:left="720"/>
      <w:contextualSpacing/>
    </w:pPr>
    <w:rPr>
      <w:rFonts w:ascii="Times New Roman" w:eastAsia="Times New Roman" w:hAnsi="Times New Roman"/>
      <w:sz w:val="24"/>
      <w:szCs w:val="24"/>
      <w:lang w:eastAsia="es-ES"/>
    </w:rPr>
  </w:style>
  <w:style w:type="paragraph" w:styleId="NormalWeb">
    <w:name w:val="Normal (Web)"/>
    <w:basedOn w:val="Normal"/>
    <w:uiPriority w:val="99"/>
    <w:unhideWhenUsed/>
    <w:rsid w:val="005260ED"/>
    <w:pPr>
      <w:spacing w:before="100" w:beforeAutospacing="1" w:after="100" w:afterAutospacing="1"/>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Pages>
  <Words>587</Words>
  <Characters>3231</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Area metropolitana de Bucaramanga</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Mario.Barragan</dc:creator>
  <cp:keywords/>
  <dc:description/>
  <cp:lastModifiedBy>JESSICA_MARQUEZ</cp:lastModifiedBy>
  <cp:revision>7</cp:revision>
  <dcterms:created xsi:type="dcterms:W3CDTF">2023-11-18T14:25:00Z</dcterms:created>
  <dcterms:modified xsi:type="dcterms:W3CDTF">2023-11-21T14:07:00Z</dcterms:modified>
</cp:coreProperties>
</file>